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c4d887a7541a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12028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PRIMORJE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323.926,79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328.514,74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365.410,70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337.227,69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41.483,91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8.712,95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41.483,91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8.712,95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21,0</w:t>
            </w:r>
          </w:p>
        </w:tc>
      </w:tr>
    </w:tbl>
    <w:p>
      <w:pPr>
        <w:spacing w:before="0" w:after="0"/>
      </w:pPr>
    </w:p>
    <w:p>
      <w:r>
        <w:t xml:space="preserve">Broj RKP-a: 12028</w:t>
      </w:r>
    </w:p>
    <w:p>
      <w:r>
        <w:t xml:space="preserve">Naziv obveznika: Osnovna škola Primorje</w:t>
      </w:r>
    </w:p>
    <w:p>
      <w:r>
        <w:t xml:space="preserve">OIB: 29632926847</w:t>
      </w:r>
    </w:p>
    <w:p>
      <w:r>
        <w:t xml:space="preserve">Adresa: Rudine 1, Smokovljani, 20205 Topolo</w:t>
      </w:r>
    </w:p>
    <w:p>
      <w:r>
        <w:t xml:space="preserve">Razina: 31</w:t>
      </w:r>
    </w:p>
    <w:p>
      <w:r>
        <w:t xml:space="preserve">Razdjel: 0</w:t>
      </w:r>
    </w:p>
    <w:p>
      <w:r>
        <w:t xml:space="preserve">Šifra djelatnosti: 8520</w:t>
      </w:r>
    </w:p>
    <w:p>
      <w:r>
        <w:t xml:space="preserve">Šifra županije/grada/općine: 598</w:t>
      </w:r>
    </w:p>
    <w:p>
      <w:r>
        <w:t xml:space="preserve">Osnovna škola Primorje u skladu sa Zakonom o odgoju i obrazovanju u osnovnoj i srednjoj školi te statutom Škole obavlj djelatnost osnovnoškolskog obrazovanja koja se odvija u jednoj smjeni.</w:t>
      </w:r>
    </w:p>
    <w:p>
      <w:r>
        <w:t xml:space="preserve">Financijski izvještaj Osnovne škole Primorje za prvo polugodište 2026.g. sastavljen je nakon što su proknjiženi svi poslovni događaji za razdoblje siječanj-lipanj 2026.g..Knjiženja su obavljena u skladu sa propisanim Računskim planom te Pravilnikom o proračunskom računovodstvu u zakonom određenom roku, odnosno do 15. srpnja 2026.g. Izvještaj se predaje putem aplikacije RKPFI na dostupnim obrascima iste.</w:t>
      </w:r>
    </w:p>
    <w:p>
      <w:r>
        <w:t xml:space="preserve">Osoba odgovorna za sastavljanje financijskog izvještaja Danijela Miljević voditeljica računovodstva.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287.151,74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275.240,92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95,9</w:t>
            </w:r>
          </w:p>
        </w:tc>
      </w:tr>
    </w:tbl>
    <w:p>
      <w:pPr>
        <w:spacing w:before="0" w:after="0"/>
      </w:pPr>
    </w:p>
    <w:p>
      <w:r>
        <w:t xml:space="preserve">Tekuće pomoći MZO-a za plaće, prijevoz na posao i ostale rashode za zaposlene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33.147,33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53.273,80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160,7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materijalnih i financijskih rashoda uključujući sredstva za prijevoz učenika te tekuće i investicijsko održavanje. Sredstva odobrena Odlukom o kriterijima, mjerilima i načinu financiranja decentraliziranih funkcija Osnovnog školstva na području Dubrovačko-neretvanske županije u 2026.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300.901,13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268.562,70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89,3</w:t>
            </w:r>
          </w:p>
        </w:tc>
      </w:tr>
    </w:tbl>
    <w:p>
      <w:pPr>
        <w:spacing w:before="0" w:after="0"/>
      </w:pPr>
    </w:p>
    <w:p>
      <w:r>
        <w:t xml:space="preserve">Rashodi za bruto plaće i ostale naknade zaposlenika koje se financiraju iz državnog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7.968,47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2540,3</w:t>
            </w:r>
          </w:p>
        </w:tc>
      </w:tr>
    </w:tbl>
    <w:p>
      <w:pPr>
        <w:spacing w:before="0" w:after="0"/>
      </w:pPr>
    </w:p>
    <w:p>
      <w:r>
        <w:t xml:space="preserve">Povećanje zbog sudskih pristojbi i naknada štete nastalih kroz tužbe kojima je Škola opterećena.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45.255,39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52.333,24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115,6</w:t>
            </w:r>
          </w:p>
        </w:tc>
      </w:tr>
    </w:tbl>
    <w:p>
      <w:pPr>
        <w:spacing w:before="0" w:after="0"/>
      </w:pPr>
    </w:p>
    <w:p>
      <w:r>
        <w:t xml:space="preserve">Manjak za pokriće u slijedećem izvještajnom razdoblju odnosi se na troškove nastale u lipnju, koji će biti plaćeni u srpnju kad se realiziraju uplate iz proračuna za školsku prehranu te uplate Osnivača za račune materijalnih troškova za lipanj pristiglih nakon roka predaje izvješća.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Škola nema dospjelih obveza na dan 30.06.2026.g.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11e663dcca456c" /></Relationships>
</file>